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436CF1">
      <w:pPr>
        <w:pStyle w:val="5"/>
        <w:keepNext w:val="0"/>
        <w:keepLines w:val="0"/>
        <w:widowControl/>
        <w:suppressLineNumbers w:val="0"/>
        <w:spacing w:before="0" w:beforeAutospacing="0" w:after="0" w:afterAutospacing="0"/>
        <w:ind w:left="0" w:right="0" w:firstLine="0"/>
        <w:jc w:val="center"/>
        <w:rPr>
          <w:rFonts w:hint="eastAsia" w:ascii="宋体" w:hAnsi="宋体" w:eastAsia="宋体" w:cs="宋体"/>
          <w:b/>
          <w:bCs/>
          <w:color w:val="auto"/>
          <w:sz w:val="44"/>
          <w:szCs w:val="44"/>
          <w:highlight w:val="none"/>
        </w:rPr>
      </w:pPr>
      <w:r>
        <w:rPr>
          <w:rFonts w:hint="eastAsia" w:ascii="宋体" w:hAnsi="宋体" w:eastAsia="宋体" w:cs="宋体"/>
          <w:b/>
          <w:bCs/>
          <w:color w:val="auto"/>
          <w:sz w:val="44"/>
          <w:szCs w:val="44"/>
          <w:highlight w:val="none"/>
        </w:rPr>
        <w:t>龙河镇罗圩初级中学教学楼改造工程</w:t>
      </w:r>
      <w:r>
        <w:rPr>
          <w:rFonts w:hint="eastAsia" w:ascii="宋体" w:hAnsi="宋体" w:eastAsia="宋体" w:cs="宋体"/>
          <w:b/>
          <w:bCs/>
          <w:color w:val="auto"/>
          <w:sz w:val="44"/>
          <w:szCs w:val="44"/>
          <w:highlight w:val="none"/>
          <w:lang w:eastAsia="zh-CN"/>
        </w:rPr>
        <w:t>招标控制价</w:t>
      </w:r>
      <w:r>
        <w:rPr>
          <w:rFonts w:hint="eastAsia" w:ascii="宋体" w:hAnsi="宋体" w:eastAsia="宋体" w:cs="宋体"/>
          <w:b/>
          <w:bCs/>
          <w:color w:val="auto"/>
          <w:sz w:val="44"/>
          <w:szCs w:val="44"/>
          <w:highlight w:val="none"/>
        </w:rPr>
        <w:t>编制说明</w:t>
      </w:r>
    </w:p>
    <w:p w14:paraId="7126B20F">
      <w:pPr>
        <w:numPr>
          <w:ilvl w:val="0"/>
          <w:numId w:val="1"/>
        </w:numPr>
        <w:spacing w:line="360" w:lineRule="auto"/>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工程概况</w:t>
      </w:r>
    </w:p>
    <w:p w14:paraId="0D8B40C3">
      <w:pPr>
        <w:pStyle w:val="5"/>
        <w:keepNext w:val="0"/>
        <w:keepLines w:val="0"/>
        <w:widowControl/>
        <w:suppressLineNumbers w:val="0"/>
        <w:spacing w:before="0" w:beforeAutospacing="0" w:after="0" w:afterAutospacing="0"/>
        <w:ind w:left="0" w:right="0" w:firstLine="560" w:firstLineChars="200"/>
        <w:rPr>
          <w:rFonts w:hint="default"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项目位于宿迁市宿城区罗圩初级中学。建设单位为宿迁市宿城区罗圩初级中学</w:t>
      </w:r>
      <w:r>
        <w:rPr>
          <w:rFonts w:hint="eastAsia" w:ascii="宋体" w:hAnsi="宋体" w:eastAsia="宋体" w:cs="宋体"/>
          <w:color w:val="auto"/>
          <w:kern w:val="2"/>
          <w:sz w:val="28"/>
          <w:szCs w:val="28"/>
          <w:highlight w:val="none"/>
          <w:lang w:val="en-US" w:eastAsia="zh-CN" w:bidi="ar-SA"/>
        </w:rPr>
        <w:t>。</w:t>
      </w:r>
    </w:p>
    <w:p w14:paraId="3254B8E0">
      <w:pPr>
        <w:spacing w:line="360" w:lineRule="auto"/>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lang w:eastAsia="zh-CN"/>
        </w:rPr>
        <w:t>二</w:t>
      </w:r>
      <w:r>
        <w:rPr>
          <w:rFonts w:hint="eastAsia" w:ascii="宋体" w:hAnsi="宋体" w:eastAsia="宋体" w:cs="宋体"/>
          <w:b/>
          <w:color w:val="auto"/>
          <w:sz w:val="28"/>
          <w:szCs w:val="28"/>
          <w:highlight w:val="none"/>
        </w:rPr>
        <w:t>、编制范围</w:t>
      </w:r>
    </w:p>
    <w:p w14:paraId="2FE1D696">
      <w:pPr>
        <w:pStyle w:val="5"/>
        <w:keepNext w:val="0"/>
        <w:keepLines w:val="0"/>
        <w:widowControl/>
        <w:suppressLineNumbers w:val="0"/>
        <w:spacing w:before="0" w:beforeAutospacing="0" w:after="0" w:afterAutospacing="0"/>
        <w:ind w:left="0" w:right="0" w:firstLine="560" w:firstLineChars="200"/>
        <w:rPr>
          <w:rFonts w:hint="default"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本项目包括的内容：宿迁市宿城区罗圩初级中学1#、2#、 3#、4#教学楼改造。改造内容主要包括</w:t>
      </w:r>
      <w:r>
        <w:rPr>
          <w:rFonts w:hint="eastAsia" w:ascii="微软雅黑" w:hAnsi="微软雅黑" w:eastAsia="微软雅黑" w:cs="微软雅黑"/>
          <w:color w:val="auto"/>
          <w:sz w:val="28"/>
          <w:szCs w:val="28"/>
          <w:highlight w:val="none"/>
          <w:lang w:val="en-US" w:eastAsia="zh-CN"/>
        </w:rPr>
        <w:t>①</w:t>
      </w:r>
      <w:r>
        <w:rPr>
          <w:rFonts w:hint="eastAsia" w:ascii="宋体" w:hAnsi="宋体" w:eastAsia="宋体" w:cs="宋体"/>
          <w:color w:val="auto"/>
          <w:sz w:val="28"/>
          <w:szCs w:val="28"/>
          <w:highlight w:val="none"/>
          <w:lang w:val="en-US" w:eastAsia="zh-CN"/>
        </w:rPr>
        <w:t>外墙漆:所有外墙真石漆更新。</w:t>
      </w:r>
      <w:r>
        <w:rPr>
          <w:rFonts w:hint="eastAsia" w:ascii="微软雅黑" w:hAnsi="微软雅黑" w:eastAsia="微软雅黑" w:cs="微软雅黑"/>
          <w:color w:val="auto"/>
          <w:sz w:val="28"/>
          <w:szCs w:val="28"/>
          <w:highlight w:val="none"/>
          <w:lang w:val="en-US" w:eastAsia="zh-CN"/>
        </w:rPr>
        <w:t>②</w:t>
      </w:r>
      <w:r>
        <w:rPr>
          <w:rFonts w:hint="eastAsia" w:ascii="宋体" w:hAnsi="宋体" w:eastAsia="宋体" w:cs="宋体"/>
          <w:color w:val="auto"/>
          <w:sz w:val="28"/>
          <w:szCs w:val="28"/>
          <w:highlight w:val="none"/>
          <w:lang w:val="en-US" w:eastAsia="zh-CN"/>
        </w:rPr>
        <w:t>内墙涂料:所有内墙涂料更新。③顶棚涂料:所有内墙涂料更新。④门窗:所有门窗更新。⑤楼梯栏杆:对破损的更新和除锈喷漆。⑥雨水管及雨水斗更新。⑦地面局部维修。</w:t>
      </w:r>
    </w:p>
    <w:p w14:paraId="141D65A3">
      <w:pPr>
        <w:spacing w:line="360" w:lineRule="auto"/>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lang w:eastAsia="zh-CN"/>
        </w:rPr>
        <w:t>三</w:t>
      </w:r>
      <w:r>
        <w:rPr>
          <w:rFonts w:hint="eastAsia" w:ascii="宋体" w:hAnsi="宋体" w:eastAsia="宋体" w:cs="宋体"/>
          <w:b/>
          <w:color w:val="auto"/>
          <w:sz w:val="28"/>
          <w:szCs w:val="28"/>
          <w:highlight w:val="none"/>
        </w:rPr>
        <w:t>、编制依据</w:t>
      </w:r>
    </w:p>
    <w:p w14:paraId="6FAA52D1">
      <w:pPr>
        <w:numPr>
          <w:ilvl w:val="0"/>
          <w:numId w:val="0"/>
        </w:numPr>
        <w:spacing w:line="360" w:lineRule="auto"/>
        <w:rPr>
          <w:rFonts w:hint="eastAsia" w:ascii="宋体" w:hAnsi="宋体" w:cs="宋体"/>
          <w:color w:val="auto"/>
          <w:sz w:val="28"/>
          <w:szCs w:val="28"/>
          <w:highlight w:val="none"/>
          <w:lang w:val="en-US" w:eastAsia="zh-CN"/>
        </w:rPr>
      </w:pPr>
      <w:r>
        <w:rPr>
          <w:rFonts w:hint="eastAsia" w:ascii="宋体" w:hAnsi="宋体" w:cs="宋体"/>
          <w:color w:val="auto"/>
          <w:sz w:val="28"/>
          <w:szCs w:val="28"/>
          <w:highlight w:val="none"/>
          <w:lang w:val="en-US" w:eastAsia="zh-CN"/>
        </w:rPr>
        <w:t>1.《建设工程工程量清单计价规范》（GB 50500-2013）</w:t>
      </w:r>
    </w:p>
    <w:p w14:paraId="48109978">
      <w:pPr>
        <w:numPr>
          <w:ilvl w:val="0"/>
          <w:numId w:val="0"/>
        </w:numPr>
        <w:spacing w:line="36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《房屋建筑与装饰工程工程量计算规范》（GB 50854-2013)</w:t>
      </w:r>
    </w:p>
    <w:p w14:paraId="23F00F67">
      <w:pPr>
        <w:numPr>
          <w:ilvl w:val="0"/>
          <w:numId w:val="0"/>
        </w:numPr>
        <w:spacing w:line="360" w:lineRule="auto"/>
        <w:rPr>
          <w:rFonts w:hint="eastAsia" w:ascii="宋体" w:hAnsi="宋体" w:eastAsia="宋体" w:cs="宋体"/>
          <w:color w:val="auto"/>
          <w:sz w:val="28"/>
          <w:szCs w:val="28"/>
          <w:highlight w:val="none"/>
        </w:rPr>
      </w:pPr>
      <w:r>
        <w:rPr>
          <w:rFonts w:hint="eastAsia" w:ascii="宋体" w:hAnsi="宋体" w:cs="宋体"/>
          <w:color w:val="auto"/>
          <w:sz w:val="28"/>
          <w:szCs w:val="28"/>
          <w:highlight w:val="none"/>
          <w:lang w:val="en-US" w:eastAsia="zh-CN"/>
        </w:rPr>
        <w:t>2.</w:t>
      </w:r>
      <w:r>
        <w:rPr>
          <w:rFonts w:hint="eastAsia" w:ascii="宋体" w:hAnsi="宋体" w:eastAsia="宋体" w:cs="宋体"/>
          <w:color w:val="auto"/>
          <w:sz w:val="28"/>
          <w:szCs w:val="28"/>
          <w:highlight w:val="none"/>
        </w:rPr>
        <w:t>《</w:t>
      </w:r>
      <w:r>
        <w:rPr>
          <w:rFonts w:hint="eastAsia" w:ascii="宋体" w:hAnsi="宋体" w:eastAsia="宋体" w:cs="宋体"/>
          <w:color w:val="auto"/>
          <w:sz w:val="28"/>
          <w:szCs w:val="28"/>
          <w:highlight w:val="none"/>
          <w:lang w:eastAsia="zh-CN"/>
        </w:rPr>
        <w:t>江苏省房屋修缮工程计价表</w:t>
      </w:r>
      <w:r>
        <w:rPr>
          <w:rFonts w:hint="eastAsia" w:ascii="宋体" w:hAnsi="宋体" w:eastAsia="宋体" w:cs="宋体"/>
          <w:color w:val="auto"/>
          <w:sz w:val="28"/>
          <w:szCs w:val="28"/>
          <w:highlight w:val="none"/>
        </w:rPr>
        <w:t>》（20</w:t>
      </w:r>
      <w:r>
        <w:rPr>
          <w:rFonts w:hint="eastAsia" w:ascii="宋体" w:hAnsi="宋体" w:eastAsia="宋体" w:cs="宋体"/>
          <w:color w:val="auto"/>
          <w:sz w:val="28"/>
          <w:szCs w:val="28"/>
          <w:highlight w:val="none"/>
          <w:lang w:val="en-US" w:eastAsia="zh-CN"/>
        </w:rPr>
        <w:t>09</w:t>
      </w:r>
      <w:r>
        <w:rPr>
          <w:rFonts w:hint="eastAsia" w:ascii="宋体" w:hAnsi="宋体" w:eastAsia="宋体" w:cs="宋体"/>
          <w:color w:val="auto"/>
          <w:sz w:val="28"/>
          <w:szCs w:val="28"/>
          <w:highlight w:val="none"/>
        </w:rPr>
        <w:t>）</w:t>
      </w:r>
    </w:p>
    <w:p w14:paraId="3B0DD41C">
      <w:pPr>
        <w:numPr>
          <w:ilvl w:val="0"/>
          <w:numId w:val="0"/>
        </w:numPr>
        <w:spacing w:line="360" w:lineRule="auto"/>
        <w:rPr>
          <w:rFonts w:hint="eastAsia" w:ascii="宋体" w:hAnsi="宋体" w:eastAsia="宋体" w:cs="宋体"/>
          <w:color w:val="auto"/>
          <w:sz w:val="28"/>
          <w:szCs w:val="28"/>
          <w:highlight w:val="none"/>
        </w:rPr>
      </w:pPr>
      <w:r>
        <w:rPr>
          <w:rFonts w:hint="eastAsia" w:ascii="宋体" w:hAnsi="宋体" w:cs="宋体"/>
          <w:color w:val="auto"/>
          <w:sz w:val="28"/>
          <w:szCs w:val="28"/>
          <w:highlight w:val="none"/>
          <w:lang w:val="en-US" w:eastAsia="zh-CN"/>
        </w:rPr>
        <w:t>3.</w:t>
      </w:r>
      <w:r>
        <w:rPr>
          <w:rFonts w:hint="eastAsia" w:ascii="宋体" w:hAnsi="宋体" w:eastAsia="宋体" w:cs="宋体"/>
          <w:color w:val="auto"/>
          <w:sz w:val="28"/>
          <w:szCs w:val="28"/>
          <w:highlight w:val="none"/>
        </w:rPr>
        <w:t>《江苏省建设工程费用定额》（2014年）</w:t>
      </w:r>
    </w:p>
    <w:p w14:paraId="4994132A">
      <w:pPr>
        <w:numPr>
          <w:ilvl w:val="0"/>
          <w:numId w:val="0"/>
        </w:numPr>
        <w:spacing w:line="360" w:lineRule="auto"/>
        <w:rPr>
          <w:rFonts w:hint="eastAsia" w:ascii="宋体" w:hAnsi="宋体" w:eastAsia="宋体" w:cs="宋体"/>
          <w:color w:val="auto"/>
          <w:sz w:val="28"/>
          <w:szCs w:val="28"/>
          <w:highlight w:val="none"/>
        </w:rPr>
      </w:pPr>
      <w:r>
        <w:rPr>
          <w:rFonts w:hint="eastAsia" w:ascii="宋体" w:hAnsi="宋体" w:cs="宋体"/>
          <w:color w:val="auto"/>
          <w:sz w:val="28"/>
          <w:szCs w:val="28"/>
          <w:highlight w:val="none"/>
          <w:lang w:val="en-US" w:eastAsia="zh-CN"/>
        </w:rPr>
        <w:t>4.</w:t>
      </w:r>
      <w:r>
        <w:rPr>
          <w:rFonts w:hint="eastAsia" w:ascii="宋体" w:hAnsi="宋体" w:eastAsia="宋体" w:cs="宋体"/>
          <w:color w:val="auto"/>
          <w:sz w:val="28"/>
          <w:szCs w:val="28"/>
          <w:highlight w:val="none"/>
        </w:rPr>
        <w:t>《江苏省住房和城乡建设厅</w:t>
      </w:r>
      <w:r>
        <w:rPr>
          <w:rFonts w:hint="eastAsia" w:ascii="宋体" w:hAnsi="宋体" w:eastAsia="宋体" w:cs="宋体"/>
          <w:color w:val="auto"/>
          <w:sz w:val="28"/>
          <w:szCs w:val="28"/>
          <w:highlight w:val="none"/>
          <w:lang w:val="en-US" w:eastAsia="zh-CN"/>
        </w:rPr>
        <w:t>文件</w:t>
      </w:r>
      <w:r>
        <w:rPr>
          <w:rFonts w:hint="eastAsia" w:ascii="宋体" w:hAnsi="宋体" w:eastAsia="宋体" w:cs="宋体"/>
          <w:color w:val="auto"/>
          <w:sz w:val="28"/>
          <w:szCs w:val="28"/>
          <w:highlight w:val="none"/>
        </w:rPr>
        <w:t>》</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rPr>
        <w:t>苏建价【2016】154号</w:t>
      </w:r>
      <w:r>
        <w:rPr>
          <w:rFonts w:hint="eastAsia" w:ascii="宋体" w:hAnsi="宋体" w:eastAsia="宋体" w:cs="宋体"/>
          <w:color w:val="auto"/>
          <w:sz w:val="28"/>
          <w:szCs w:val="28"/>
          <w:highlight w:val="none"/>
          <w:lang w:eastAsia="zh-CN"/>
        </w:rPr>
        <w:t>）</w:t>
      </w:r>
    </w:p>
    <w:p w14:paraId="34286AEC">
      <w:pPr>
        <w:numPr>
          <w:ilvl w:val="0"/>
          <w:numId w:val="0"/>
        </w:numPr>
        <w:spacing w:line="360" w:lineRule="auto"/>
        <w:rPr>
          <w:rFonts w:hint="eastAsia" w:ascii="宋体" w:hAnsi="宋体" w:eastAsia="宋体" w:cs="宋体"/>
          <w:color w:val="auto"/>
          <w:sz w:val="28"/>
          <w:szCs w:val="28"/>
          <w:highlight w:val="none"/>
        </w:rPr>
      </w:pPr>
      <w:r>
        <w:rPr>
          <w:rFonts w:hint="eastAsia" w:ascii="宋体" w:hAnsi="宋体" w:cs="宋体"/>
          <w:color w:val="auto"/>
          <w:sz w:val="28"/>
          <w:szCs w:val="28"/>
          <w:highlight w:val="none"/>
          <w:lang w:val="en-US" w:eastAsia="zh-CN"/>
        </w:rPr>
        <w:t>5.</w:t>
      </w:r>
      <w:r>
        <w:rPr>
          <w:rFonts w:hint="eastAsia" w:ascii="宋体" w:hAnsi="宋体" w:eastAsia="宋体" w:cs="宋体"/>
          <w:color w:val="auto"/>
          <w:sz w:val="28"/>
          <w:szCs w:val="28"/>
          <w:highlight w:val="none"/>
        </w:rPr>
        <w:t>《江苏省住房和城乡建设厅公告》【2018】第24号</w:t>
      </w:r>
    </w:p>
    <w:p w14:paraId="3CEF4109">
      <w:pPr>
        <w:numPr>
          <w:ilvl w:val="0"/>
          <w:numId w:val="0"/>
        </w:numPr>
        <w:spacing w:line="360" w:lineRule="auto"/>
        <w:rPr>
          <w:rFonts w:hint="eastAsia" w:ascii="宋体" w:hAnsi="宋体" w:eastAsia="宋体" w:cs="宋体"/>
          <w:color w:val="auto"/>
          <w:sz w:val="28"/>
          <w:szCs w:val="28"/>
          <w:highlight w:val="none"/>
        </w:rPr>
      </w:pPr>
      <w:r>
        <w:rPr>
          <w:rFonts w:hint="eastAsia" w:ascii="宋体" w:hAnsi="宋体" w:cs="宋体"/>
          <w:color w:val="auto"/>
          <w:sz w:val="28"/>
          <w:szCs w:val="28"/>
          <w:highlight w:val="none"/>
          <w:lang w:val="en-US" w:eastAsia="zh-CN"/>
        </w:rPr>
        <w:t>6.</w:t>
      </w:r>
      <w:r>
        <w:rPr>
          <w:rFonts w:hint="eastAsia" w:ascii="宋体" w:hAnsi="宋体" w:eastAsia="宋体" w:cs="宋体"/>
          <w:color w:val="auto"/>
          <w:sz w:val="28"/>
          <w:szCs w:val="28"/>
          <w:highlight w:val="none"/>
        </w:rPr>
        <w:t>《江苏省住房和城乡建设厅公告》【2019】第19号</w:t>
      </w:r>
    </w:p>
    <w:p w14:paraId="4FDFAE6D">
      <w:pPr>
        <w:pStyle w:val="5"/>
        <w:keepNext w:val="0"/>
        <w:keepLines w:val="0"/>
        <w:widowControl/>
        <w:suppressLineNumbers w:val="0"/>
        <w:spacing w:before="0" w:beforeAutospacing="0" w:after="0" w:afterAutospacing="0"/>
        <w:ind w:right="0"/>
        <w:rPr>
          <w:rFonts w:hint="eastAsia" w:ascii="宋体" w:hAnsi="宋体" w:eastAsia="宋体" w:cs="宋体"/>
          <w:color w:val="auto"/>
          <w:sz w:val="28"/>
          <w:szCs w:val="28"/>
          <w:highlight w:val="none"/>
        </w:rPr>
      </w:pPr>
      <w:r>
        <w:rPr>
          <w:rFonts w:hint="eastAsia" w:ascii="宋体" w:hAnsi="宋体" w:eastAsia="宋体" w:cs="宋体"/>
          <w:color w:val="auto"/>
          <w:kern w:val="2"/>
          <w:sz w:val="28"/>
          <w:szCs w:val="28"/>
          <w:highlight w:val="none"/>
          <w:lang w:val="en-US" w:eastAsia="zh-CN" w:bidi="ar-SA"/>
        </w:rPr>
        <w:t>7.</w:t>
      </w:r>
      <w:r>
        <w:rPr>
          <w:rFonts w:hint="eastAsia" w:ascii="宋体" w:hAnsi="宋体" w:eastAsia="宋体" w:cs="宋体"/>
          <w:color w:val="auto"/>
          <w:sz w:val="28"/>
          <w:szCs w:val="28"/>
          <w:highlight w:val="none"/>
        </w:rPr>
        <w:t>本工程执行现行的相关定额、法律法规及相关政策文件</w:t>
      </w:r>
    </w:p>
    <w:p w14:paraId="5C854A55">
      <w:pPr>
        <w:numPr>
          <w:ilvl w:val="0"/>
          <w:numId w:val="0"/>
        </w:numPr>
        <w:spacing w:line="360" w:lineRule="auto"/>
        <w:rPr>
          <w:rFonts w:hint="eastAsia" w:ascii="宋体" w:hAnsi="宋体" w:eastAsia="宋体" w:cs="宋体"/>
          <w:color w:val="auto"/>
          <w:sz w:val="28"/>
          <w:szCs w:val="28"/>
          <w:highlight w:val="none"/>
          <w:lang w:val="en-US" w:eastAsia="zh-CN"/>
        </w:rPr>
      </w:pPr>
      <w:r>
        <w:rPr>
          <w:rFonts w:hint="eastAsia" w:ascii="宋体" w:hAnsi="宋体" w:cs="宋体"/>
          <w:color w:val="auto"/>
          <w:sz w:val="28"/>
          <w:szCs w:val="28"/>
          <w:highlight w:val="none"/>
          <w:lang w:val="en-US" w:eastAsia="zh-CN"/>
        </w:rPr>
        <w:t>8.</w:t>
      </w:r>
      <w:r>
        <w:rPr>
          <w:rFonts w:hint="eastAsia" w:ascii="宋体" w:hAnsi="宋体" w:eastAsia="宋体" w:cs="宋体"/>
          <w:color w:val="auto"/>
          <w:sz w:val="28"/>
          <w:szCs w:val="28"/>
          <w:highlight w:val="none"/>
        </w:rPr>
        <w:t>相关图集</w:t>
      </w:r>
    </w:p>
    <w:p w14:paraId="3D4C2DF6">
      <w:pPr>
        <w:numPr>
          <w:ilvl w:val="0"/>
          <w:numId w:val="0"/>
        </w:numPr>
        <w:spacing w:line="360" w:lineRule="auto"/>
        <w:rPr>
          <w:rFonts w:hint="eastAsia" w:ascii="宋体" w:hAnsi="宋体" w:eastAsia="宋体" w:cs="宋体"/>
          <w:color w:val="auto"/>
          <w:sz w:val="28"/>
          <w:szCs w:val="28"/>
          <w:highlight w:val="none"/>
          <w:lang w:val="en-US" w:eastAsia="zh-CN"/>
        </w:rPr>
      </w:pPr>
      <w:r>
        <w:rPr>
          <w:rFonts w:hint="eastAsia" w:ascii="宋体" w:hAnsi="宋体" w:cs="宋体"/>
          <w:color w:val="auto"/>
          <w:sz w:val="28"/>
          <w:szCs w:val="28"/>
          <w:highlight w:val="none"/>
          <w:lang w:val="en-US" w:eastAsia="zh-CN"/>
        </w:rPr>
        <w:t>9.</w:t>
      </w:r>
      <w:r>
        <w:rPr>
          <w:rFonts w:hint="eastAsia" w:ascii="宋体" w:hAnsi="宋体" w:eastAsia="宋体" w:cs="宋体"/>
          <w:color w:val="auto"/>
          <w:sz w:val="28"/>
          <w:szCs w:val="28"/>
          <w:highlight w:val="none"/>
          <w:lang w:val="en-US" w:eastAsia="zh-CN"/>
        </w:rPr>
        <w:t>材料信息执行《宿迁工程造价管理》2025.05及市场询价</w:t>
      </w:r>
    </w:p>
    <w:p w14:paraId="180448A2">
      <w:pPr>
        <w:spacing w:line="360" w:lineRule="auto"/>
        <w:rPr>
          <w:rFonts w:hint="eastAsia" w:asciiTheme="minorHAnsi" w:hAnsiTheme="minorHAnsi" w:eastAsiaTheme="minorEastAsia" w:cstheme="minorBidi"/>
          <w:b/>
          <w:bCs/>
          <w:kern w:val="0"/>
          <w:sz w:val="28"/>
          <w:szCs w:val="28"/>
          <w:lang w:val="en-US" w:eastAsia="zh-CN" w:bidi="ar"/>
        </w:rPr>
      </w:pPr>
      <w:r>
        <w:rPr>
          <w:rFonts w:hint="eastAsia" w:asciiTheme="minorHAnsi" w:hAnsiTheme="minorHAnsi" w:eastAsiaTheme="minorEastAsia" w:cstheme="minorBidi"/>
          <w:b/>
          <w:bCs/>
          <w:kern w:val="0"/>
          <w:sz w:val="28"/>
          <w:szCs w:val="28"/>
          <w:lang w:val="en-US" w:eastAsia="zh-CN" w:bidi="ar"/>
        </w:rPr>
        <w:t>四、编制口径</w:t>
      </w:r>
    </w:p>
    <w:p w14:paraId="6D37EEAE">
      <w:pPr>
        <w:rPr>
          <w:rFonts w:hint="eastAsia" w:asciiTheme="minorHAnsi" w:hAnsiTheme="minorHAnsi" w:eastAsiaTheme="minorEastAsia" w:cstheme="minorBidi"/>
          <w:kern w:val="0"/>
          <w:sz w:val="28"/>
          <w:szCs w:val="28"/>
          <w:lang w:val="en-US" w:eastAsia="zh-CN" w:bidi="ar"/>
        </w:rPr>
      </w:pPr>
      <w:r>
        <w:rPr>
          <w:rFonts w:hint="eastAsia" w:asciiTheme="minorHAnsi" w:hAnsiTheme="minorHAnsi" w:eastAsiaTheme="minorEastAsia" w:cstheme="minorBidi"/>
          <w:kern w:val="0"/>
          <w:sz w:val="28"/>
          <w:szCs w:val="28"/>
          <w:lang w:val="en-US" w:eastAsia="zh-CN" w:bidi="ar"/>
        </w:rPr>
        <w:t>1、砂浆均按照预拌砂浆计入；</w:t>
      </w:r>
    </w:p>
    <w:p w14:paraId="484B3F2C">
      <w:pPr>
        <w:rPr>
          <w:rFonts w:hint="eastAsia" w:asciiTheme="minorHAnsi" w:hAnsiTheme="minorHAnsi" w:eastAsiaTheme="minorEastAsia" w:cstheme="minorBidi"/>
          <w:kern w:val="0"/>
          <w:sz w:val="28"/>
          <w:szCs w:val="28"/>
          <w:lang w:val="en-US" w:eastAsia="zh-CN" w:bidi="ar"/>
        </w:rPr>
      </w:pPr>
      <w:r>
        <w:rPr>
          <w:rFonts w:hint="eastAsia" w:asciiTheme="minorHAnsi" w:hAnsiTheme="minorHAnsi" w:eastAsiaTheme="minorEastAsia" w:cstheme="minorBidi"/>
          <w:kern w:val="0"/>
          <w:sz w:val="28"/>
          <w:szCs w:val="28"/>
          <w:lang w:val="en-US" w:eastAsia="zh-CN" w:bidi="ar"/>
        </w:rPr>
        <w:t>2、栏杆</w:t>
      </w:r>
      <w:r>
        <w:rPr>
          <w:rFonts w:hint="eastAsia" w:cstheme="minorBidi"/>
          <w:kern w:val="0"/>
          <w:sz w:val="28"/>
          <w:szCs w:val="28"/>
          <w:lang w:val="en-US" w:eastAsia="zh-CN" w:bidi="ar"/>
        </w:rPr>
        <w:t>拆除和新做</w:t>
      </w:r>
      <w:r>
        <w:rPr>
          <w:rFonts w:hint="eastAsia" w:asciiTheme="minorHAnsi" w:hAnsiTheme="minorHAnsi" w:eastAsiaTheme="minorEastAsia" w:cstheme="minorBidi"/>
          <w:kern w:val="0"/>
          <w:sz w:val="28"/>
          <w:szCs w:val="28"/>
          <w:lang w:val="en-US" w:eastAsia="zh-CN" w:bidi="ar"/>
        </w:rPr>
        <w:t>工程量均为暂估工程量</w:t>
      </w:r>
      <w:r>
        <w:rPr>
          <w:rFonts w:hint="eastAsia" w:cstheme="minorBidi"/>
          <w:kern w:val="0"/>
          <w:sz w:val="28"/>
          <w:szCs w:val="28"/>
          <w:lang w:val="en-US" w:eastAsia="zh-CN" w:bidi="ar"/>
        </w:rPr>
        <w:t>，结算时按实际调整</w:t>
      </w:r>
      <w:r>
        <w:rPr>
          <w:rFonts w:hint="eastAsia" w:asciiTheme="minorHAnsi" w:hAnsiTheme="minorHAnsi" w:eastAsiaTheme="minorEastAsia" w:cstheme="minorBidi"/>
          <w:kern w:val="0"/>
          <w:sz w:val="28"/>
          <w:szCs w:val="28"/>
          <w:lang w:val="en-US" w:eastAsia="zh-CN" w:bidi="ar"/>
        </w:rPr>
        <w:t>；</w:t>
      </w:r>
    </w:p>
    <w:p w14:paraId="511CA913">
      <w:pPr>
        <w:pStyle w:val="5"/>
        <w:keepNext w:val="0"/>
        <w:keepLines w:val="0"/>
        <w:widowControl/>
        <w:suppressLineNumbers w:val="0"/>
        <w:spacing w:before="0" w:beforeAutospacing="0" w:after="0" w:afterAutospacing="0"/>
        <w:ind w:left="0" w:right="0" w:firstLine="0"/>
        <w:rPr>
          <w:rFonts w:hint="eastAsia" w:cstheme="minorBidi"/>
          <w:kern w:val="0"/>
          <w:sz w:val="28"/>
          <w:szCs w:val="28"/>
          <w:lang w:val="en-US" w:eastAsia="zh-CN" w:bidi="ar"/>
        </w:rPr>
      </w:pPr>
      <w:r>
        <w:rPr>
          <w:rFonts w:hint="eastAsia" w:asciiTheme="minorHAnsi" w:hAnsiTheme="minorHAnsi" w:eastAsiaTheme="minorEastAsia" w:cstheme="minorBidi"/>
          <w:kern w:val="0"/>
          <w:sz w:val="28"/>
          <w:szCs w:val="28"/>
          <w:lang w:val="en-US" w:eastAsia="zh-CN" w:bidi="ar"/>
        </w:rPr>
        <w:t>3、</w:t>
      </w:r>
      <w:r>
        <w:rPr>
          <w:rFonts w:hint="eastAsia" w:cstheme="minorBidi"/>
          <w:kern w:val="0"/>
          <w:sz w:val="28"/>
          <w:szCs w:val="28"/>
          <w:lang w:val="en-US" w:eastAsia="zh-CN" w:bidi="ar"/>
        </w:rPr>
        <w:t>经设计回复栏杆油漆做</w:t>
      </w:r>
      <w:r>
        <w:rPr>
          <w:rFonts w:hint="eastAsia" w:asciiTheme="minorHAnsi" w:hAnsiTheme="minorHAnsi" w:eastAsiaTheme="minorEastAsia" w:cstheme="minorBidi"/>
          <w:kern w:val="0"/>
          <w:sz w:val="28"/>
          <w:szCs w:val="28"/>
          <w:lang w:val="en-US" w:eastAsia="zh-CN" w:bidi="ar"/>
        </w:rPr>
        <w:t>法为喷防锈漆，银粉漆2度</w:t>
      </w:r>
      <w:r>
        <w:rPr>
          <w:rFonts w:hint="eastAsia" w:cstheme="minorBidi"/>
          <w:kern w:val="0"/>
          <w:sz w:val="28"/>
          <w:szCs w:val="28"/>
          <w:lang w:val="en-US" w:eastAsia="zh-CN" w:bidi="ar"/>
        </w:rPr>
        <w:t>；</w:t>
      </w:r>
    </w:p>
    <w:p w14:paraId="3A3260A2">
      <w:pPr>
        <w:pStyle w:val="5"/>
        <w:keepNext w:val="0"/>
        <w:keepLines w:val="0"/>
        <w:widowControl/>
        <w:suppressLineNumbers w:val="0"/>
        <w:spacing w:before="0" w:beforeAutospacing="0" w:after="0" w:afterAutospacing="0"/>
        <w:ind w:left="0" w:right="0" w:firstLine="0"/>
        <w:rPr>
          <w:rFonts w:hint="default" w:asciiTheme="minorHAnsi" w:hAnsiTheme="minorHAnsi" w:eastAsiaTheme="minorEastAsia" w:cstheme="minorBidi"/>
          <w:kern w:val="0"/>
          <w:sz w:val="28"/>
          <w:szCs w:val="28"/>
          <w:lang w:val="en-US" w:eastAsia="zh-CN" w:bidi="ar"/>
        </w:rPr>
      </w:pPr>
      <w:r>
        <w:rPr>
          <w:rFonts w:hint="eastAsia" w:cstheme="minorBidi"/>
          <w:kern w:val="0"/>
          <w:sz w:val="28"/>
          <w:szCs w:val="28"/>
          <w:lang w:val="en-US" w:eastAsia="zh-CN" w:bidi="ar"/>
        </w:rPr>
        <w:t>4、应建设单位要求项目所用外窗为</w:t>
      </w:r>
      <w:r>
        <w:rPr>
          <w:rFonts w:hint="eastAsia" w:asciiTheme="minorHAnsi" w:hAnsiTheme="minorHAnsi" w:eastAsiaTheme="minorEastAsia" w:cstheme="minorBidi"/>
          <w:kern w:val="0"/>
          <w:sz w:val="28"/>
          <w:szCs w:val="28"/>
          <w:lang w:val="en-US" w:eastAsia="zh-CN" w:bidi="ar"/>
        </w:rPr>
        <w:t>90系列断桥隔热铝合金型材。</w:t>
      </w:r>
    </w:p>
    <w:p w14:paraId="00F07195">
      <w:pPr>
        <w:pStyle w:val="9"/>
        <w:ind w:firstLine="0" w:firstLineChars="0"/>
        <w:rPr>
          <w:b/>
          <w:bCs/>
          <w:sz w:val="32"/>
          <w:szCs w:val="32"/>
        </w:rPr>
      </w:pPr>
      <w:r>
        <w:rPr>
          <w:rFonts w:hint="eastAsia"/>
          <w:b/>
          <w:bCs/>
          <w:sz w:val="32"/>
          <w:szCs w:val="32"/>
        </w:rPr>
        <w:t>五、其他说明</w:t>
      </w:r>
    </w:p>
    <w:p w14:paraId="197BB1B7">
      <w:pPr>
        <w:pStyle w:val="4"/>
        <w:numPr>
          <w:ilvl w:val="0"/>
          <w:numId w:val="2"/>
        </w:numPr>
        <w:spacing w:line="480" w:lineRule="exact"/>
        <w:ind w:firstLine="560" w:firstLineChars="200"/>
        <w:jc w:val="left"/>
        <w:rPr>
          <w:rFonts w:hAnsiTheme="minorHAnsi" w:cstheme="minorBidi"/>
          <w:kern w:val="0"/>
          <w:sz w:val="28"/>
          <w:szCs w:val="28"/>
          <w:lang w:bidi="ar"/>
        </w:rPr>
      </w:pPr>
      <w:r>
        <w:rPr>
          <w:rFonts w:hint="eastAsia" w:hAnsiTheme="minorHAnsi" w:cstheme="minorBidi"/>
          <w:kern w:val="0"/>
          <w:sz w:val="28"/>
          <w:szCs w:val="28"/>
          <w:lang w:bidi="ar"/>
        </w:rPr>
        <w:t>投标单位应充分考虑施工工艺及技术规范要求，且在投标报价中考虑其一切安装相关费用，并可对其材料费、措施费明细自行补充，中标后不得以分析表中某项不含或与实际不符为由拒绝施工或提出增加费用，结算时不应以任何理由要求调整。</w:t>
      </w:r>
    </w:p>
    <w:p w14:paraId="7DA9E69E">
      <w:pPr>
        <w:pStyle w:val="4"/>
        <w:spacing w:line="480" w:lineRule="exact"/>
        <w:ind w:firstLine="560" w:firstLineChars="200"/>
        <w:jc w:val="left"/>
        <w:rPr>
          <w:rFonts w:hAnsiTheme="minorHAnsi" w:cstheme="minorBidi"/>
          <w:kern w:val="0"/>
          <w:sz w:val="28"/>
          <w:szCs w:val="28"/>
          <w:lang w:bidi="ar"/>
        </w:rPr>
      </w:pPr>
      <w:r>
        <w:rPr>
          <w:rFonts w:hint="eastAsia" w:cstheme="minorBidi"/>
          <w:kern w:val="0"/>
          <w:sz w:val="28"/>
          <w:szCs w:val="28"/>
          <w:lang w:val="en-US" w:eastAsia="zh-CN" w:bidi="ar"/>
        </w:rPr>
        <w:t>2</w:t>
      </w:r>
      <w:r>
        <w:rPr>
          <w:rFonts w:hint="eastAsia" w:cstheme="minorBidi"/>
          <w:kern w:val="0"/>
          <w:sz w:val="28"/>
          <w:szCs w:val="28"/>
          <w:lang w:bidi="ar"/>
        </w:rPr>
        <w:t>、</w:t>
      </w:r>
      <w:r>
        <w:rPr>
          <w:rFonts w:hint="eastAsia" w:hAnsiTheme="minorHAnsi" w:cstheme="minorBidi"/>
          <w:kern w:val="0"/>
          <w:sz w:val="28"/>
          <w:szCs w:val="28"/>
          <w:lang w:bidi="ar"/>
        </w:rPr>
        <w:t>措施项目费由各投标人自行勘察现场，根据各自施工组织设计充分考虑报价，清单中未列清单的费用，由各个投标人综合考虑分摊至其他清单中，后期结算不再行增加。</w:t>
      </w:r>
    </w:p>
    <w:p w14:paraId="3C936524">
      <w:pPr>
        <w:pStyle w:val="4"/>
        <w:spacing w:line="480" w:lineRule="exact"/>
        <w:ind w:firstLine="560" w:firstLineChars="200"/>
        <w:jc w:val="left"/>
        <w:rPr>
          <w:rFonts w:hAnsiTheme="minorHAnsi" w:cstheme="minorBidi"/>
          <w:kern w:val="0"/>
          <w:sz w:val="28"/>
          <w:szCs w:val="28"/>
          <w:lang w:bidi="ar"/>
        </w:rPr>
      </w:pPr>
      <w:r>
        <w:rPr>
          <w:rFonts w:hint="eastAsia" w:hAnsiTheme="minorHAnsi" w:cstheme="minorBidi"/>
          <w:kern w:val="0"/>
          <w:sz w:val="28"/>
          <w:szCs w:val="28"/>
          <w:lang w:val="en-US" w:eastAsia="zh-CN" w:bidi="ar"/>
        </w:rPr>
        <w:t>3</w:t>
      </w:r>
      <w:r>
        <w:rPr>
          <w:rFonts w:hint="eastAsia" w:hAnsiTheme="minorHAnsi" w:cstheme="minorBidi"/>
          <w:kern w:val="0"/>
          <w:sz w:val="28"/>
          <w:szCs w:val="28"/>
          <w:lang w:bidi="ar"/>
        </w:rPr>
        <w:t>、文明施工现场产生的扬尘保护措施（喷雾、裸土覆盖）、安全文明施工临时围挡必须满足宿迁市现行环保规定及创卫工作、文明工作要求，其费用由投标单位自行考虑在投标报价中，后期结算时不予调整。</w:t>
      </w:r>
    </w:p>
    <w:p w14:paraId="550FFC49">
      <w:pPr>
        <w:pStyle w:val="4"/>
        <w:spacing w:line="480" w:lineRule="exact"/>
        <w:ind w:firstLine="560" w:firstLineChars="200"/>
        <w:jc w:val="left"/>
        <w:rPr>
          <w:rFonts w:hAnsiTheme="minorHAnsi" w:cstheme="minorBidi"/>
          <w:kern w:val="0"/>
          <w:sz w:val="28"/>
          <w:szCs w:val="28"/>
          <w:lang w:bidi="ar"/>
        </w:rPr>
      </w:pPr>
      <w:r>
        <w:rPr>
          <w:rFonts w:hint="eastAsia" w:hAnsiTheme="minorHAnsi" w:cstheme="minorBidi"/>
          <w:kern w:val="0"/>
          <w:sz w:val="28"/>
          <w:szCs w:val="28"/>
          <w:lang w:val="en-US" w:eastAsia="zh-CN" w:bidi="ar"/>
        </w:rPr>
        <w:t>4</w:t>
      </w:r>
      <w:r>
        <w:rPr>
          <w:rFonts w:hint="eastAsia" w:hAnsiTheme="minorHAnsi" w:cstheme="minorBidi"/>
          <w:kern w:val="0"/>
          <w:sz w:val="28"/>
          <w:szCs w:val="28"/>
          <w:lang w:bidi="ar"/>
        </w:rPr>
        <w:t>、各投标人应充分考虑现场复杂性，自行勘察，做好现场施工过程中的保护、恢复、现场清理等各项费用，结算时不予调整。</w:t>
      </w:r>
    </w:p>
    <w:p w14:paraId="03EF36E7">
      <w:pPr>
        <w:widowControl/>
        <w:spacing w:line="480" w:lineRule="exact"/>
        <w:ind w:firstLine="560" w:firstLineChars="200"/>
        <w:jc w:val="left"/>
        <w:rPr>
          <w:kern w:val="0"/>
          <w:sz w:val="28"/>
          <w:szCs w:val="28"/>
          <w:lang w:bidi="ar"/>
        </w:rPr>
      </w:pPr>
      <w:r>
        <w:rPr>
          <w:rFonts w:hint="eastAsia"/>
          <w:kern w:val="0"/>
          <w:sz w:val="28"/>
          <w:szCs w:val="28"/>
          <w:lang w:val="en-US" w:eastAsia="zh-CN" w:bidi="ar"/>
        </w:rPr>
        <w:t>5</w:t>
      </w:r>
      <w:r>
        <w:rPr>
          <w:rFonts w:hint="eastAsia"/>
          <w:kern w:val="0"/>
          <w:sz w:val="28"/>
          <w:szCs w:val="28"/>
          <w:lang w:bidi="ar"/>
        </w:rPr>
        <w:t>、投标人在收到工程量清单时须对图纸设计内容、清单的项目特征描述、工程量进行复核，充分考虑完成清单项目所需要的所有施工工艺，招标人所发布的清单特征是清单项目的必要描述而非清单项目的所有工作内容，如果本说明提出因设计不详、设计矛盾或招标人的原因对部分做法进行调整的，以本说明为准，其他一律以施工图和工程量清单计价规范为准；工程量清单编制说明未尽之处，详见设计施工图纸，各投标人在投标报价中应充分考虑其相关费用，按照图纸相关做法及相关规范要求报价；如果清单项目特征描述有错误、不完整、工程量计算规则理解有偏差等情况，必须在招标答疑时以书面形式向招标人提出，招标人将书面回复；如未提出，招标人在收到投标人报价时将认定投标人认可清单项目特征描述、图纸要求及工程量计算规则，已将各项风险范围内的成本费用分摊到综合单价中，后期不予调整。</w:t>
      </w:r>
    </w:p>
    <w:p w14:paraId="55F6587C">
      <w:pPr>
        <w:widowControl/>
        <w:spacing w:line="480" w:lineRule="exact"/>
        <w:ind w:firstLine="560" w:firstLineChars="200"/>
        <w:jc w:val="left"/>
        <w:rPr>
          <w:kern w:val="0"/>
          <w:sz w:val="28"/>
          <w:szCs w:val="28"/>
          <w:lang w:bidi="ar"/>
        </w:rPr>
      </w:pPr>
      <w:r>
        <w:rPr>
          <w:rFonts w:hint="eastAsia"/>
          <w:kern w:val="0"/>
          <w:sz w:val="28"/>
          <w:szCs w:val="28"/>
          <w:lang w:val="en-US" w:eastAsia="zh-CN" w:bidi="ar"/>
        </w:rPr>
        <w:t>6</w:t>
      </w:r>
      <w:r>
        <w:rPr>
          <w:rFonts w:hint="eastAsia"/>
          <w:kern w:val="0"/>
          <w:sz w:val="28"/>
          <w:szCs w:val="28"/>
          <w:lang w:bidi="ar"/>
        </w:rPr>
        <w:t>、投标人应对措施项目清单进行核对，在投标报价时应充分考虑赶工措施费、施工组织和技术措施（内容与深度应满足措施项目计价的需要），根据自身实际需要、实际情况自行补充、修改，如有招标工程量清单的缺项(漏项)或计算错误应该在招投标阶段及时提出，若投标人没有提出则该风险应由投标人承担，对招标人未列出的措施项目，投标人应充分考虑施工工艺及技术规范要求，且在投标报价中考虑其一切安装相关费用，并可对其材料费、措施费明细自行补充，中标后不得以分析表中某项不含或与实际不符为由拒绝施工或提出增加费用，结算时不应以任何理由要求调整。对属于危险性较大工程范围的措施项目，投标人应在确保施工方案的可行性的基础上投标报价时充分考虑，中标后，非发包人原因导致的施工方案的改变，结算时不予调整。</w:t>
      </w:r>
    </w:p>
    <w:p w14:paraId="66E9A242">
      <w:pPr>
        <w:pStyle w:val="6"/>
        <w:spacing w:line="480" w:lineRule="exact"/>
        <w:ind w:firstLine="560" w:firstLineChars="200"/>
        <w:rPr>
          <w:kern w:val="0"/>
          <w:sz w:val="28"/>
          <w:szCs w:val="28"/>
          <w:lang w:bidi="ar"/>
        </w:rPr>
      </w:pPr>
      <w:r>
        <w:rPr>
          <w:rFonts w:hint="eastAsia"/>
          <w:kern w:val="0"/>
          <w:sz w:val="28"/>
          <w:szCs w:val="28"/>
          <w:lang w:val="en-US" w:eastAsia="zh-CN" w:bidi="ar"/>
        </w:rPr>
        <w:t>7</w:t>
      </w:r>
      <w:r>
        <w:rPr>
          <w:rFonts w:hint="eastAsia"/>
          <w:kern w:val="0"/>
          <w:sz w:val="28"/>
          <w:szCs w:val="28"/>
          <w:lang w:bidi="ar"/>
        </w:rPr>
        <w:t>、各投标人应充分做好安全及技术交底，保证本工程不涉及到其他构件的破坏，充分考虑完成各项工作所需的施工条件，如遭到损坏由投标人自行修复，所需费用包含在报价内，竣工结算时不得要求增加调整费用。</w:t>
      </w:r>
    </w:p>
    <w:p w14:paraId="40606B22">
      <w:pPr>
        <w:pStyle w:val="6"/>
        <w:spacing w:line="480" w:lineRule="exact"/>
        <w:ind w:firstLine="560" w:firstLineChars="200"/>
        <w:rPr>
          <w:kern w:val="0"/>
          <w:sz w:val="28"/>
          <w:szCs w:val="28"/>
          <w:lang w:bidi="ar"/>
        </w:rPr>
      </w:pPr>
      <w:r>
        <w:rPr>
          <w:rFonts w:hint="eastAsia"/>
          <w:kern w:val="0"/>
          <w:sz w:val="28"/>
          <w:szCs w:val="28"/>
          <w:lang w:val="en-US" w:eastAsia="zh-CN" w:bidi="ar"/>
        </w:rPr>
        <w:t>8</w:t>
      </w:r>
      <w:r>
        <w:rPr>
          <w:rFonts w:hint="eastAsia"/>
          <w:kern w:val="0"/>
          <w:sz w:val="28"/>
          <w:szCs w:val="28"/>
          <w:lang w:bidi="ar"/>
        </w:rPr>
        <w:t>、所有门窗做法需满足设计、规范及验收标准，如：相关特殊门含闭门器、外窗带纱扇轨道、增设附框等，包括并不限于门窗密封、防水、保温、填缝、灌浆等细部节点做法，结算时不另增加费用，窗淋水试验投标人自行考虑计入总报价中，结算时不予调整。</w:t>
      </w:r>
    </w:p>
    <w:p w14:paraId="5376324C">
      <w:pPr>
        <w:pStyle w:val="5"/>
        <w:widowControl/>
        <w:spacing w:beforeAutospacing="0" w:afterAutospacing="0" w:line="480" w:lineRule="exact"/>
        <w:ind w:firstLine="560" w:firstLineChars="200"/>
        <w:rPr>
          <w:rFonts w:cstheme="minorBidi"/>
          <w:sz w:val="28"/>
          <w:szCs w:val="28"/>
          <w:lang w:bidi="ar"/>
        </w:rPr>
      </w:pPr>
      <w:r>
        <w:rPr>
          <w:rFonts w:hint="eastAsia" w:cstheme="minorBidi"/>
          <w:sz w:val="28"/>
          <w:szCs w:val="28"/>
          <w:lang w:val="en-US" w:eastAsia="zh-CN" w:bidi="ar"/>
        </w:rPr>
        <w:t>9</w:t>
      </w:r>
      <w:r>
        <w:rPr>
          <w:rFonts w:hint="eastAsia" w:cstheme="minorBidi"/>
          <w:sz w:val="28"/>
          <w:szCs w:val="28"/>
          <w:lang w:bidi="ar"/>
        </w:rPr>
        <w:t>、所有涉及需要进行植筋、穿墙、穿板、打洞、开槽、穿梁、绕梁、套管、开孔、 封堵、修补等一系列相关内容、各材质面检修孔，出风口，各类灯具开孔、不锈钢折弯打胶，块料、石材等的镜面打磨、开孔、磨边倒角、酸洗打蜡、成品保护及各部位需要美缝等工艺施工、不同材质间的收边、因原造型改变，而产生的管道、柱、墙包封，应按图纸或现行规范进行包封处理等工艺；综合考虑因环境、气候等因素增加的混凝土外加剂；木材、钢材面所需的防火、防腐、防锈、探伤、预埋等处理、涂料油漆（应满足抗污耐擦洗的性能参数），所有木质构件要做防白蚁措施，所有裸露金属构件均做镀锌防锈处理，所有材料的颜色型号规格（由发包方选定）等，均应按图纸要求施工，且满足相关规范要求，所需费用投标人应自行考虑在相应报价内，结算时不予调整。</w:t>
      </w:r>
    </w:p>
    <w:p w14:paraId="18264E6D">
      <w:pPr>
        <w:pStyle w:val="9"/>
        <w:ind w:firstLine="0" w:firstLineChars="0"/>
        <w:rPr>
          <w:kern w:val="0"/>
          <w:sz w:val="28"/>
          <w:szCs w:val="28"/>
          <w:lang w:bidi="ar"/>
        </w:rPr>
      </w:pPr>
    </w:p>
    <w:p w14:paraId="6041052E">
      <w:pPr>
        <w:pStyle w:val="5"/>
        <w:widowControl/>
        <w:spacing w:beforeAutospacing="0" w:afterAutospacing="0"/>
        <w:jc w:val="right"/>
        <w:rPr>
          <w:rFonts w:cstheme="minorBidi"/>
          <w:sz w:val="28"/>
          <w:szCs w:val="28"/>
          <w:lang w:bidi="ar"/>
        </w:rPr>
      </w:pPr>
      <w:r>
        <w:rPr>
          <w:rFonts w:hint="eastAsia" w:cstheme="minorBidi"/>
          <w:sz w:val="28"/>
          <w:szCs w:val="28"/>
          <w:lang w:bidi="ar"/>
        </w:rPr>
        <w:t>宿迁建威工程咨询有限公司</w:t>
      </w:r>
    </w:p>
    <w:p w14:paraId="416D8CF8">
      <w:pPr>
        <w:pStyle w:val="5"/>
        <w:widowControl/>
        <w:spacing w:beforeAutospacing="0" w:afterAutospacing="0"/>
        <w:rPr>
          <w:rFonts w:cstheme="minorBidi"/>
          <w:sz w:val="28"/>
          <w:szCs w:val="28"/>
          <w:lang w:bidi="ar"/>
        </w:rPr>
      </w:pPr>
    </w:p>
    <w:p w14:paraId="4A06D41F">
      <w:pPr>
        <w:pStyle w:val="5"/>
        <w:widowControl/>
        <w:spacing w:beforeAutospacing="0" w:afterAutospacing="0"/>
        <w:rPr>
          <w:rFonts w:cstheme="minorBidi"/>
          <w:sz w:val="28"/>
          <w:szCs w:val="28"/>
          <w:lang w:bidi="ar"/>
        </w:rPr>
      </w:pPr>
    </w:p>
    <w:p w14:paraId="7C5B4CBD">
      <w:pPr>
        <w:pStyle w:val="5"/>
        <w:widowControl/>
        <w:spacing w:beforeAutospacing="0" w:afterAutospacing="0"/>
        <w:rPr>
          <w:rFonts w:eastAsia="宋体"/>
        </w:rPr>
      </w:pPr>
      <w:bookmarkStart w:id="0" w:name="_GoBack"/>
      <w:bookmarkEnd w:id="0"/>
    </w:p>
    <w:p w14:paraId="1385251B">
      <w:pPr>
        <w:pStyle w:val="5"/>
        <w:widowControl/>
        <w:numPr>
          <w:ilvl w:val="0"/>
          <w:numId w:val="0"/>
        </w:numPr>
        <w:spacing w:before="0" w:beforeAutospacing="0" w:after="0" w:afterAutospacing="0"/>
        <w:ind w:right="0" w:rightChars="0"/>
        <w:rPr>
          <w:rFonts w:hint="default" w:asciiTheme="minorHAnsi" w:hAnsiTheme="minorHAnsi" w:eastAsiaTheme="minorEastAsia" w:cstheme="minorBidi"/>
          <w:color w:val="auto"/>
          <w:kern w:val="0"/>
          <w:sz w:val="28"/>
          <w:szCs w:val="28"/>
          <w:highlight w:val="none"/>
          <w:lang w:val="en-US" w:eastAsia="zh-CN" w:bidi="ar"/>
        </w:rPr>
      </w:pPr>
    </w:p>
    <w:p w14:paraId="79D1C434">
      <w:pPr>
        <w:pStyle w:val="5"/>
        <w:keepNext w:val="0"/>
        <w:keepLines w:val="0"/>
        <w:widowControl/>
        <w:suppressLineNumbers w:val="0"/>
        <w:spacing w:before="0" w:beforeAutospacing="0" w:after="0" w:afterAutospacing="0"/>
        <w:ind w:left="0" w:right="0" w:firstLine="0"/>
        <w:rPr>
          <w:rFonts w:hint="default" w:asciiTheme="minorHAnsi" w:hAnsiTheme="minorHAnsi" w:eastAsiaTheme="minorEastAsia" w:cstheme="minorBidi"/>
          <w:color w:val="auto"/>
          <w:kern w:val="0"/>
          <w:sz w:val="28"/>
          <w:szCs w:val="28"/>
          <w:highlight w:val="none"/>
          <w:lang w:val="en-US" w:eastAsia="zh-CN" w:bidi="ar"/>
        </w:rPr>
      </w:pPr>
    </w:p>
    <w:p w14:paraId="21830D60">
      <w:pPr>
        <w:pStyle w:val="5"/>
        <w:keepNext w:val="0"/>
        <w:keepLines w:val="0"/>
        <w:widowControl/>
        <w:suppressLineNumbers w:val="0"/>
        <w:spacing w:before="0" w:beforeAutospacing="0" w:after="0" w:afterAutospacing="0"/>
        <w:ind w:left="0" w:right="0" w:firstLine="0"/>
        <w:rPr>
          <w:rFonts w:hint="default" w:eastAsia="宋体"/>
          <w:color w:val="auto"/>
          <w:highlight w:val="none"/>
          <w:lang w:val="en-US" w:eastAsia="zh-CN"/>
        </w:rPr>
      </w:pPr>
    </w:p>
    <w:p w14:paraId="1DFB8FE4">
      <w:pPr>
        <w:numPr>
          <w:ilvl w:val="0"/>
          <w:numId w:val="0"/>
        </w:numPr>
        <w:rPr>
          <w:rFonts w:hint="default"/>
          <w:color w:val="auto"/>
          <w:sz w:val="28"/>
          <w:szCs w:val="28"/>
          <w:highlight w:val="none"/>
          <w:lang w:val="en-US" w:eastAsia="zh-CN"/>
        </w:rPr>
      </w:pPr>
    </w:p>
    <w:p w14:paraId="0CA0BEA0">
      <w:pPr>
        <w:numPr>
          <w:ilvl w:val="0"/>
          <w:numId w:val="0"/>
        </w:numPr>
        <w:rPr>
          <w:rFonts w:hint="eastAsia"/>
          <w:color w:val="auto"/>
          <w:sz w:val="28"/>
          <w:szCs w:val="28"/>
          <w:highlight w:val="none"/>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245781A"/>
    <w:multiLevelType w:val="singleLevel"/>
    <w:tmpl w:val="1245781A"/>
    <w:lvl w:ilvl="0" w:tentative="0">
      <w:start w:val="1"/>
      <w:numFmt w:val="decimal"/>
      <w:suff w:val="nothing"/>
      <w:lvlText w:val="%1、"/>
      <w:lvlJc w:val="left"/>
    </w:lvl>
  </w:abstractNum>
  <w:abstractNum w:abstractNumId="1">
    <w:nsid w:val="162C5B81"/>
    <w:multiLevelType w:val="singleLevel"/>
    <w:tmpl w:val="162C5B81"/>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ZjMTY0YTYyYWRlYTZlMWQ3ZmRhMjZhOGU3ZjEyMWEifQ=="/>
  </w:docVars>
  <w:rsids>
    <w:rsidRoot w:val="00000000"/>
    <w:rsid w:val="00164BD1"/>
    <w:rsid w:val="003E1649"/>
    <w:rsid w:val="00830F3D"/>
    <w:rsid w:val="01445B32"/>
    <w:rsid w:val="03806C5D"/>
    <w:rsid w:val="04C56BCD"/>
    <w:rsid w:val="04E66521"/>
    <w:rsid w:val="067152F6"/>
    <w:rsid w:val="07306327"/>
    <w:rsid w:val="07397135"/>
    <w:rsid w:val="07F8171F"/>
    <w:rsid w:val="081960C6"/>
    <w:rsid w:val="088C65D2"/>
    <w:rsid w:val="08972D8D"/>
    <w:rsid w:val="093C6F28"/>
    <w:rsid w:val="0AB1361C"/>
    <w:rsid w:val="0AF52B11"/>
    <w:rsid w:val="0B501BE1"/>
    <w:rsid w:val="0B772657"/>
    <w:rsid w:val="0C183DB1"/>
    <w:rsid w:val="0C4A4166"/>
    <w:rsid w:val="0C7F3393"/>
    <w:rsid w:val="0E5D2105"/>
    <w:rsid w:val="0E9D34F5"/>
    <w:rsid w:val="0FB02A18"/>
    <w:rsid w:val="0FDD6A73"/>
    <w:rsid w:val="101369CC"/>
    <w:rsid w:val="10B72F3D"/>
    <w:rsid w:val="11B66BD6"/>
    <w:rsid w:val="121974BC"/>
    <w:rsid w:val="13E37F25"/>
    <w:rsid w:val="156665D6"/>
    <w:rsid w:val="15E82028"/>
    <w:rsid w:val="15E904EE"/>
    <w:rsid w:val="17203875"/>
    <w:rsid w:val="17B904A5"/>
    <w:rsid w:val="18606BE2"/>
    <w:rsid w:val="1A676352"/>
    <w:rsid w:val="1A991A87"/>
    <w:rsid w:val="1DF62E7B"/>
    <w:rsid w:val="20602ABD"/>
    <w:rsid w:val="20B762F0"/>
    <w:rsid w:val="22D7310D"/>
    <w:rsid w:val="22FA7622"/>
    <w:rsid w:val="234B6811"/>
    <w:rsid w:val="23F01D16"/>
    <w:rsid w:val="24334783"/>
    <w:rsid w:val="288043C1"/>
    <w:rsid w:val="28851A67"/>
    <w:rsid w:val="28D668A7"/>
    <w:rsid w:val="2E681C8D"/>
    <w:rsid w:val="2EE97EDB"/>
    <w:rsid w:val="2F3F3830"/>
    <w:rsid w:val="2F4A615C"/>
    <w:rsid w:val="32922DF7"/>
    <w:rsid w:val="33C90654"/>
    <w:rsid w:val="35697D88"/>
    <w:rsid w:val="35863AA7"/>
    <w:rsid w:val="35980641"/>
    <w:rsid w:val="36CF4C36"/>
    <w:rsid w:val="371812F8"/>
    <w:rsid w:val="3A9A4067"/>
    <w:rsid w:val="3C804F3B"/>
    <w:rsid w:val="3EBE58A9"/>
    <w:rsid w:val="3FF2087A"/>
    <w:rsid w:val="40FB3781"/>
    <w:rsid w:val="41DF7769"/>
    <w:rsid w:val="4400499C"/>
    <w:rsid w:val="45470F5B"/>
    <w:rsid w:val="45956F37"/>
    <w:rsid w:val="46174542"/>
    <w:rsid w:val="47423273"/>
    <w:rsid w:val="48F07D58"/>
    <w:rsid w:val="49CC33DF"/>
    <w:rsid w:val="49D1456E"/>
    <w:rsid w:val="4A677AE4"/>
    <w:rsid w:val="4AC35ED0"/>
    <w:rsid w:val="4B862EC7"/>
    <w:rsid w:val="4CC33BF4"/>
    <w:rsid w:val="4E4135E1"/>
    <w:rsid w:val="4FC72295"/>
    <w:rsid w:val="516633AE"/>
    <w:rsid w:val="517E5A37"/>
    <w:rsid w:val="530B0F3D"/>
    <w:rsid w:val="534706AB"/>
    <w:rsid w:val="54EC52CC"/>
    <w:rsid w:val="56761859"/>
    <w:rsid w:val="570D55FF"/>
    <w:rsid w:val="57D32E60"/>
    <w:rsid w:val="590B378F"/>
    <w:rsid w:val="59E202E7"/>
    <w:rsid w:val="5A9D4389"/>
    <w:rsid w:val="5B717364"/>
    <w:rsid w:val="5CC05638"/>
    <w:rsid w:val="5D040288"/>
    <w:rsid w:val="5D1666D4"/>
    <w:rsid w:val="622A09AE"/>
    <w:rsid w:val="62D85C41"/>
    <w:rsid w:val="62F45211"/>
    <w:rsid w:val="6397759F"/>
    <w:rsid w:val="63B86960"/>
    <w:rsid w:val="63D53136"/>
    <w:rsid w:val="64486429"/>
    <w:rsid w:val="64A16DD5"/>
    <w:rsid w:val="681B57AC"/>
    <w:rsid w:val="682F5491"/>
    <w:rsid w:val="684C76B0"/>
    <w:rsid w:val="689C61D4"/>
    <w:rsid w:val="691B26A5"/>
    <w:rsid w:val="69575883"/>
    <w:rsid w:val="6C303457"/>
    <w:rsid w:val="6CC02881"/>
    <w:rsid w:val="6DDA5F3B"/>
    <w:rsid w:val="6E3F6951"/>
    <w:rsid w:val="6E7A4C51"/>
    <w:rsid w:val="6E907D17"/>
    <w:rsid w:val="6F5C2B80"/>
    <w:rsid w:val="702B6287"/>
    <w:rsid w:val="70895D33"/>
    <w:rsid w:val="716D1D20"/>
    <w:rsid w:val="720A12D1"/>
    <w:rsid w:val="748A428C"/>
    <w:rsid w:val="7512542C"/>
    <w:rsid w:val="768400CF"/>
    <w:rsid w:val="774C2345"/>
    <w:rsid w:val="777C4AF8"/>
    <w:rsid w:val="77C319FB"/>
    <w:rsid w:val="78037557"/>
    <w:rsid w:val="7A8D042D"/>
    <w:rsid w:val="7AD736AD"/>
    <w:rsid w:val="7B21313A"/>
    <w:rsid w:val="7CB1051C"/>
    <w:rsid w:val="7F2C44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customStyle="1" w:styleId="2">
    <w:name w:val="Heading2"/>
    <w:basedOn w:val="3"/>
    <w:next w:val="1"/>
    <w:qFormat/>
    <w:uiPriority w:val="0"/>
    <w:pPr>
      <w:keepNext/>
      <w:keepLines/>
      <w:spacing w:before="260" w:after="260" w:line="413" w:lineRule="auto"/>
    </w:pPr>
    <w:rPr>
      <w:rFonts w:ascii="Arial" w:hAnsi="Arial" w:eastAsia="黑体"/>
      <w:b/>
      <w:sz w:val="32"/>
    </w:rPr>
  </w:style>
  <w:style w:type="paragraph" w:customStyle="1" w:styleId="3">
    <w:name w:val="Normal_16"/>
    <w:next w:val="2"/>
    <w:qFormat/>
    <w:uiPriority w:val="0"/>
    <w:pPr>
      <w:widowControl w:val="0"/>
      <w:jc w:val="both"/>
    </w:pPr>
    <w:rPr>
      <w:rFonts w:ascii="Times New Roman" w:hAnsi="Times New Roman" w:eastAsia="宋体" w:cs="Times New Roman"/>
      <w:szCs w:val="24"/>
      <w:lang w:val="en-US" w:eastAsia="zh-CN" w:bidi="ar-SA"/>
    </w:rPr>
  </w:style>
  <w:style w:type="paragraph" w:styleId="4">
    <w:name w:val="Plain Text"/>
    <w:basedOn w:val="1"/>
    <w:qFormat/>
    <w:uiPriority w:val="0"/>
    <w:rPr>
      <w:rFonts w:hAnsi="Courier New" w:cs="Courier New"/>
      <w:sz w:val="21"/>
      <w:szCs w:val="21"/>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paragraph" w:styleId="6">
    <w:name w:val="Body Text First Indent"/>
    <w:basedOn w:val="1"/>
    <w:qFormat/>
    <w:uiPriority w:val="0"/>
    <w:pPr>
      <w:spacing w:line="312" w:lineRule="auto"/>
      <w:ind w:firstLine="420"/>
    </w:pPr>
  </w:style>
  <w:style w:type="paragraph" w:styleId="9">
    <w:name w:val="List Paragraph"/>
    <w:basedOn w:val="1"/>
    <w:qFormat/>
    <w:uiPriority w:val="34"/>
    <w:pPr>
      <w:ind w:firstLine="420" w:firstLineChars="200"/>
    </w:pPr>
  </w:style>
  <w:style w:type="character" w:customStyle="1" w:styleId="10">
    <w:name w:val="font31"/>
    <w:basedOn w:val="8"/>
    <w:qFormat/>
    <w:uiPriority w:val="0"/>
    <w:rPr>
      <w:rFonts w:ascii="Calibri" w:hAnsi="Calibri" w:cs="Calibri"/>
      <w:color w:val="000000"/>
      <w:sz w:val="18"/>
      <w:szCs w:val="18"/>
      <w:u w:val="none"/>
    </w:rPr>
  </w:style>
  <w:style w:type="character" w:customStyle="1" w:styleId="11">
    <w:name w:val="font11"/>
    <w:basedOn w:val="8"/>
    <w:qFormat/>
    <w:uiPriority w:val="0"/>
    <w:rPr>
      <w:rFonts w:hint="eastAsia" w:ascii="宋体" w:hAnsi="宋体" w:eastAsia="宋体" w:cs="宋体"/>
      <w:color w:val="000000"/>
      <w:sz w:val="18"/>
      <w:szCs w:val="18"/>
      <w:u w:val="none"/>
    </w:rPr>
  </w:style>
  <w:style w:type="character" w:customStyle="1" w:styleId="12">
    <w:name w:val="font21"/>
    <w:basedOn w:val="8"/>
    <w:qFormat/>
    <w:uiPriority w:val="0"/>
    <w:rPr>
      <w:rFonts w:hint="eastAsia" w:ascii="宋体" w:hAnsi="宋体" w:eastAsia="宋体" w:cs="宋体"/>
      <w:color w:val="000000"/>
      <w:sz w:val="22"/>
      <w:szCs w:val="22"/>
      <w:u w:val="none"/>
    </w:rPr>
  </w:style>
  <w:style w:type="character" w:customStyle="1" w:styleId="13">
    <w:name w:val="font141"/>
    <w:basedOn w:val="8"/>
    <w:qFormat/>
    <w:uiPriority w:val="0"/>
    <w:rPr>
      <w:rFonts w:ascii="Calibri" w:hAnsi="Calibri" w:cs="Calibri"/>
      <w:color w:val="000000"/>
      <w:sz w:val="18"/>
      <w:szCs w:val="18"/>
      <w:u w:val="none"/>
    </w:rPr>
  </w:style>
  <w:style w:type="character" w:customStyle="1" w:styleId="14">
    <w:name w:val="font51"/>
    <w:basedOn w:val="8"/>
    <w:qFormat/>
    <w:uiPriority w:val="0"/>
    <w:rPr>
      <w:rFonts w:hint="eastAsia" w:ascii="宋体" w:hAnsi="宋体" w:eastAsia="宋体" w:cs="宋体"/>
      <w:color w:val="FF0000"/>
      <w:sz w:val="22"/>
      <w:szCs w:val="22"/>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2113</Words>
  <Characters>2176</Characters>
  <Lines>0</Lines>
  <Paragraphs>0</Paragraphs>
  <TotalTime>67</TotalTime>
  <ScaleCrop>false</ScaleCrop>
  <LinksUpToDate>false</LinksUpToDate>
  <CharactersWithSpaces>2180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秦娜</cp:lastModifiedBy>
  <cp:lastPrinted>2024-11-04T01:39:00Z</cp:lastPrinted>
  <dcterms:modified xsi:type="dcterms:W3CDTF">2025-06-12T07:17:24Z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DF4024D3BB6D42FCB1BB757A3E781D12_12</vt:lpwstr>
  </property>
  <property fmtid="{D5CDD505-2E9C-101B-9397-08002B2CF9AE}" pid="4" name="KSOTemplateDocerSaveRecord">
    <vt:lpwstr>eyJoZGlkIjoiZmYwNGFmNTg0MGU0ZTFhMGFiOWE1YmI0N2NlZGE0YzAiLCJ1c2VySWQiOiIyNjk1MDczMjYifQ==</vt:lpwstr>
  </property>
</Properties>
</file>